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BayLStG (Bayern) — Zweck</w:t>
      </w:r>
    </w:p>
    <w:p>
      <w:r>
        <w:rPr>
          <w:color w:val="555555"/>
          <w:sz w:val="18"/>
        </w:rPr>
        <w:t xml:space="preserve">Gesetz über die Bayerische Landesstiftung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Stiftung verfolgt ausschließlich und unmittelbar gemeinnützige und mildtätige Zwecke auf sozialem und kulturellem Gebiet im Sinn der §§ 51 bis 53 und 55 bis 68 der Abgabenordnung.</w:t>
      </w:r>
    </w:p>
    <w:p>
      <w:r>
        <w:t xml:space="preserve">[Amtl. Anm.:] BGBl. FN 610-1-3</w:t>
      </w:r>
    </w:p>
    <w:p>
      <w:r>
        <w:rPr>
          <w:color w:val="555555"/>
          <w:sz w:val="17"/>
        </w:rPr>
        <w:t xml:space="preserve">Zitiervorschlag: Art 2 BayLStG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https://recht.nulegal.eu/gesetze/BayLStG/2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