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BayLStG (Bayern) — Inkrafttreten</w:t>
      </w:r>
    </w:p>
    <w:p>
      <w:r>
        <w:rPr>
          <w:color w:val="555555"/>
          <w:sz w:val="18"/>
        </w:rPr>
        <w:t xml:space="preserve">Gesetz über die Bayerische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ist dringlich. Es tritt am 1. April 1972 in Kraft.</w:t>
      </w:r>
    </w:p>
    <w:p>
      <w:r>
        <w:t xml:space="preserve">[Amtl. Anm.:] Betrifft die ursprüngliche Fassung vom 27. März 1972 (GVBl. S. 85)</w:t>
      </w:r>
    </w:p>
    <w:p>
      <w:r>
        <w:rPr>
          <w:color w:val="555555"/>
          <w:sz w:val="17"/>
        </w:rPr>
        <w:t xml:space="preserve">Zitiervorschlag: Art 15 BayLStG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