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BayLStG (Bayern) — Satzung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nähere Ausgestaltung der Stiftung wird durch eine Satzung geregelt. Die Staatsregierung erläßt die Satzung nach Anhörung des Stiftungsrats, dies gilt entsprechend für Änderungen und Ergänzungen.</w:t>
      </w:r>
    </w:p>
    <w:p>
      <w:r>
        <w:t xml:space="preserve">[Amtl. Anm.:] BayRS 282-2-10-1-F</w:t>
      </w:r>
    </w:p>
    <w:p>
      <w:r>
        <w:rPr>
          <w:color w:val="555555"/>
          <w:sz w:val="17"/>
        </w:rPr>
        <w:t xml:space="preserve">Zitiervorschlag: Art 11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