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BayLRAuszGAV (Bayern)</w:t>
      </w:r>
    </w:p>
    <w:p>
      <w:r>
        <w:rPr>
          <w:color w:val="555555"/>
          <w:sz w:val="18"/>
        </w:rPr>
        <w:t xml:space="preserve">Verordnung zur Ausführung des Gesetzes über staatliche Auszeichnungen für die Rettung von Menschen aus Lebensgefahr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Auszeichnungen mit Ausnahme der Geldbelohnung werden vom Ministerpräsidenten oder seinem Beauftragten überreicht.</w:t>
      </w:r>
    </w:p>
    <w:p>
      <w:r>
        <w:t xml:space="preserve">(2) Über die Auszahlung einer Geldbelohnung und deren Höhe darf weder dem oder den Geretteten noch Außenstehenden Kenntnis gegeben werden.</w:t>
      </w:r>
    </w:p>
    <w:p>
      <w:r>
        <w:rPr>
          <w:color w:val="555555"/>
          <w:sz w:val="17"/>
        </w:rPr>
        <w:t xml:space="preserve">Zitiervorschlag: § 8 BayLRAuszGAV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https://recht.nulegal.eu/gesetze/BayLRAuszGAV/8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