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BayLRAuszGAV (Bayern)</w:t>
      </w:r>
    </w:p>
    <w:p>
      <w:r>
        <w:rPr>
          <w:color w:val="555555"/>
          <w:sz w:val="18"/>
        </w:rPr>
        <w:t xml:space="preserve">Verordnung zur Ausführung des Gesetzes über staatliche Auszeichnungen für die Rettung von Menschen aus Lebensgefahr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Unbeschadet des Art. 10 des Gesetzes sind Ermittlungen von Amts wegen über eine Rettungstat nicht mehr einzuleiten, wenn diese länger als zwei Jahre zurückliegt.</w:t>
      </w:r>
    </w:p>
    <w:p>
      <w:r>
        <w:t xml:space="preserve">[Amtl. Anm.:] BayRS 1132–2–S</w:t>
      </w:r>
    </w:p>
    <w:p>
      <w:r>
        <w:rPr>
          <w:color w:val="555555"/>
          <w:sz w:val="17"/>
        </w:rPr>
        <w:t xml:space="preserve">Zitiervorschlag: § 6 BayLRAuszGAV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https://recht.nulegal.eu/gesetze/BayLRAuszGAV/6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