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BayLHafSchUO (Bayern)</w:t>
      </w:r>
    </w:p>
    <w:p>
      <w:r>
        <w:rPr>
          <w:color w:val="555555"/>
          <w:sz w:val="18"/>
        </w:rPr>
        <w:t xml:space="preserve">Bayerische Landeshafen- und Schifffahrtsuntersuchungsordnung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Auf Grund des Art. 10a des Gesetzes über Zuständigkeiten im Verkehrswesen (ZustGVerk) vom 28. Juni 1990 (GVBl S. 220, BayRS 9210-1-W), zuletzt geändert durch Gesetz vom 23. November 2009 (GVBl S. 576), erlässt das Bayerische Staatsministerium für Wirtschaft, Infrastruktur, Verkehr und Technologie folgende Verordnung:</w:t>
      </w:r>
    </w:p>
    <w:p>
      <w:r>
        <w:rPr>
          <w:color w:val="555555"/>
          <w:sz w:val="17"/>
        </w:rPr>
        <w:t xml:space="preserve">Zitiervorschlag: Eingangsformel BayLHafSchUO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https://recht.nulegal.eu/gesetze/BayLHafSchUO/eingangsformel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