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BayLHafSchUO (Bayern) — Anwendbarkeit der Binnenschiffspersonalverordnung</w:t>
      </w:r>
    </w:p>
    <w:p>
      <w:r>
        <w:rPr>
          <w:color w:val="555555"/>
          <w:sz w:val="18"/>
        </w:rPr>
        <w:t xml:space="preserve">Bayerische Landeshafen- und Schifffahrtsuntersuchungsordnung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Anforderungen an die Besatzung und über die Befähigungen der Besatzung von Fahrzeugen, schwimmenden Anlagen und Schwimmkörpern zum Verkehr auf Gewässern, die mit der Main-Donau-Wasserstraße in schiffbarer Weise verbunden sind, ist die Binnenschiffspersonalverordnung insoweit anzuwenden, als sich deren Bestimmungen auf Wasserstraßen der Zone 4 im Sinn des Anhangs I BinSchUO beziehen und keine Ordnungswidrigkeit festlegen.</w:t>
      </w:r>
    </w:p>
    <w:p>
      <w:r>
        <w:rPr>
          <w:color w:val="555555"/>
          <w:sz w:val="17"/>
        </w:rPr>
        <w:t xml:space="preserve">Zitiervorschlag: § 4 BayLHafSchUO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https://recht.nulegal.eu/gesetze/BayLHafSchUO/4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BayLHafSchUO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