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30 BayLGAendV3 (Bayern)</w:t>
      </w:r>
    </w:p>
    <w:p>
      <w:r>
        <w:rPr>
          <w:color w:val="555555"/>
          <w:sz w:val="18"/>
        </w:rPr>
        <w:t xml:space="preserve">Dritter Staatsvertrag zwischen dem Freistaat Bayern und dem Land Baden-Württemberg über die Änderung der Landesgrenze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Dieser Staatsvertrag bedarf der Ratifikation. Die Ratifikationsurkunden sollen so bald wie möglich ausgetauscht werden.</w:t>
      </w:r>
    </w:p>
    <w:p>
      <w:r>
        <w:t xml:space="preserve">(2) Dieser Staatsvertrag tritt am ersten Tag des dem Austausch der Ratifikationsurkunden folgenden Monats in Kraft.</w:t>
      </w:r>
    </w:p>
    <w:p>
      <w:r>
        <w:rPr>
          <w:color w:val="555555"/>
          <w:sz w:val="17"/>
        </w:rPr>
        <w:t xml:space="preserve">Zitiervorschlag: Art 30 BayLGAendV3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https://recht.nulegal.eu/gesetze/BayLGAendV3/30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