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BayLGAendV3 (Bayern)</w:t>
      </w:r>
    </w:p>
    <w:p>
      <w:r>
        <w:rPr>
          <w:color w:val="555555"/>
          <w:sz w:val="18"/>
        </w:rPr>
        <w:t xml:space="preserve">Dritter Staatsvertrag zwischen dem Freistaat Bayern und dem Land Baden-Württemberg über die Änderung der Landesgrenze</w:t>
      </w:r>
    </w:p>
    <w:p>
      <w:r>
        <w:rPr>
          <w:color w:val="555555"/>
          <w:sz w:val="18"/>
        </w:rPr>
        <w:t xml:space="preserve">Landesrecht Bayern</w:t>
      </w:r>
    </w:p>
    <w:p>
      <w:r>
        <w:rPr>
          <w:color w:val="555555"/>
          <w:sz w:val="18"/>
        </w:rPr>
        <w:t xml:space="preserve">Stand: 25.08.2026 (konsolidierte Textfassung, kein amtliches Inkrafttretensdatum)</w:t>
      </w:r>
    </w:p>
    <w:p>
      <w:r>
        <w:t xml:space="preserve">Die Anlagen 1 bis 25 sind Bestandteile dieses Staatsvertrages. Sie werden bei dem Bayerischen Landesvermessungsamt in München und dem Landesvermessungsamt Baden-Württemberg in Stuttgart sowie den Vermessungsämtern Dillingen a.d. Donau, Kempten (Allgäu), Klingenberg a. Main, Memmingen, Nördlingen, Rothenburg ob der Tauber und Würzburg des Freistaates Bayern und bei den Staatlichen Vermessungsämtern Aalen, Heidenheim, Ravensburg, Schwäbisch Hall und Tauberbischofsheim des Landes Baden-Württemberg sowie beim Stadtmessungsamt Ulm aufbewahrt und können dort von jedermann während der Sprechzeiten kostenlos eingesehen werden.</w:t>
      </w:r>
    </w:p>
    <w:p>
      <w:r>
        <w:rPr>
          <w:color w:val="555555"/>
          <w:sz w:val="17"/>
        </w:rPr>
        <w:t xml:space="preserve">Zitiervorschlag: Art 29 BayLGAendV3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https://recht.nulegal.eu/gesetze/BayLGAendV3/29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