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in Artikel 3 bis 26 festgelegten Verlauf der neuen Landesgrenze sind die Anlagen 1 bis 25 zu diesem Staatsvertrag und die dort aufgeführten Katasterunterlagen über die Festlegung der Landesgrenzpunkte in den Liegenschaftskatastern von Bayern und Baden-Württemberg maßgebend.</w:t>
      </w:r>
    </w:p>
    <w:p>
      <w:r>
        <w:t xml:space="preserve">[Amtl. Anm.:] Vom Abdruck wird abgesehen, siehe Artikel 29.</w:t>
      </w:r>
    </w:p>
    <w:p>
      <w:r>
        <w:rPr>
          <w:color w:val="555555"/>
          <w:sz w:val="17"/>
        </w:rPr>
        <w:t xml:space="preserve">Zitiervorschlag: Art 2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