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BayLGAendV3 (Bayern)</w:t>
      </w:r>
    </w:p>
    <w:p>
      <w:r>
        <w:rPr>
          <w:color w:val="555555"/>
          <w:sz w:val="18"/>
        </w:rPr>
        <w:t xml:space="preserve">Dritter Staatsvertrag zwischen dem Freistaat Bayern und dem Land Baden-Württemberg über die Änderung der Landesgrenze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Zwischen der Gemeinde Bächingen a.d. Brenz, Landkreis Dillingen a.d. Donau, Freistaat Bayern, und der Gemeinde Sontheim an der Brenz, Landkreis Heidenheim, Land Baden-Württemberg, verläuft die neue Landesgrenze vom Landesgrenzpunkt 391 bis zum Landesgrenzpunkt 392 (alt) nach Maßgabe der Anlage 19, Seiten 1 und 2.</w:t>
      </w:r>
    </w:p>
    <w:p>
      <w:r>
        <w:rPr>
          <w:color w:val="555555"/>
          <w:sz w:val="17"/>
        </w:rPr>
        <w:t xml:space="preserve">Zitiervorschlag: Art 19 BayLGAendV3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https://recht.nulegal.eu/gesetze/BayLGAendV3/19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