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BayLGAendV3 (Bayern)</w:t>
      </w:r>
    </w:p>
    <w:p>
      <w:r>
        <w:rPr>
          <w:color w:val="555555"/>
          <w:sz w:val="18"/>
        </w:rPr>
        <w:t xml:space="preserve">Dritter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der Gemeinde Kirchheim, Landkreis Würzburg, Freistaat Bayern, und der Gemeinde Wittighausen, Main-Tauber-Kreis, Land Baden-Württemberg, verläuft die neue Landesgrenze</w:t>
      </w:r>
    </w:p>
    <w:p>
      <w:r>
        <w:t xml:space="preserve">1. vom Landesgrenzpunkt 420 bis zum Landesgrenzpunkt 424 nach Maßgabe der Anlage 10, Seiten 1 und 3;</w:t>
      </w:r>
    </w:p>
    <w:p>
      <w:r>
        <w:t xml:space="preserve">2. vom Landesgrenzpunkt 430 bis zum Landesgrenzpunkt 431 nach Maßgabe der Anlage 10, Seiten 2 und 3.</w:t>
      </w:r>
    </w:p>
    <w:p>
      <w:r>
        <w:rPr>
          <w:color w:val="555555"/>
          <w:sz w:val="17"/>
        </w:rPr>
        <w:t xml:space="preserve">Zitiervorschlag: Art 10 BayLGAendV3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https://recht.nulegal.eu/gesetze/BayLGAendV3/10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