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BayLGAendV2 (Bayern)</w:t>
      </w:r>
    </w:p>
    <w:p>
      <w:r>
        <w:rPr>
          <w:color w:val="555555"/>
          <w:sz w:val="18"/>
        </w:rPr>
        <w:t xml:space="preserve">Zweiter Staatsvertrag zwischen dem Freistaat Bayern und dem Land Baden-Württemberg über die Änderung der Landesgrenze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22. Oktober 1987</w:t>
      </w:r>
    </w:p>
    <w:p>
      <w:r>
        <w:t xml:space="preserve">Für den Freistaat Bayern</w:t>
      </w:r>
    </w:p>
    <w:p>
      <w:r>
        <w:t xml:space="preserve">Franz Josef Strauß</w:t>
      </w:r>
    </w:p>
    <w:p>
      <w:r>
        <w:t xml:space="preserve">Für das Land Baden-Württemberg</w:t>
      </w:r>
    </w:p>
    <w:p>
      <w:r>
        <w:t xml:space="preserve">Lothar Späth</w:t>
      </w:r>
    </w:p>
    <w:p>
      <w:r>
        <w:rPr>
          <w:color w:val="555555"/>
          <w:sz w:val="17"/>
        </w:rPr>
        <w:t xml:space="preserve">Zitiervorschlag: Schlussformel BayLGAendV2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https://recht.nulegal.eu/gesetze/BayLGAendV2/schlussformel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