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BayLGAendV2 (Bayern)</w:t>
      </w:r>
    </w:p>
    <w:p>
      <w:r>
        <w:rPr>
          <w:color w:val="555555"/>
          <w:sz w:val="18"/>
        </w:rPr>
        <w:t xml:space="preserve">Zweiter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der Gemeinde Langenau, Landkreis Neu-Ulm, Freistaat Bayern, und der Stadt Langenau, Alb-Donau-Kreis, Land Baden-Württemberg, verläuft die neue Landesgrenze vom Landesgrenzpunkt 66 bis zum Landesgrenzpunkt 70 nach Maßgabe der Anlage 7, Seiten 1 und 2.</w:t>
      </w:r>
    </w:p>
    <w:p>
      <w:r>
        <w:rPr>
          <w:color w:val="555555"/>
          <w:sz w:val="17"/>
        </w:rPr>
        <w:t xml:space="preserve">Zitiervorschlag: Art 7 BayLGAendV2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https://recht.nulegal.eu/gesetze/BayLGAendV2/7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