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Stadt Nördlingen, Landkreis Donau-Ries, Freistaat Bayern, sowie der Stadt Bopfingen und der Gemeinde Riesbürg, Ostalbkreis, Land Baden-Württemberg, verläuft die neue Landesgrenze</w:t>
      </w:r>
    </w:p>
    <w:p>
      <w:r>
        <w:t xml:space="preserve">1. vom Landesgrenzpunkt 281 bis zum Landesgrenzpunkt 284 nach Maßgabe der Anlage 18, Seiten 1 und 3;</w:t>
      </w:r>
    </w:p>
    <w:p>
      <w:r>
        <w:t xml:space="preserve">2. vom Landesgrenzpunkt 285 bis zum Landesgrenzpunkt 288 nach Maßgabe der Anlage 18, Seiten 1 und 3;</w:t>
      </w:r>
    </w:p>
    <w:p>
      <w:r>
        <w:t xml:space="preserve">3. vom Landesgrenzpunkt 290 bis zum Landesgrenzpunkt 312 nach Maßgabe der Anlage 18, Seiten 1 und 3.</w:t>
      </w:r>
    </w:p>
    <w:p>
      <w:r>
        <w:rPr>
          <w:color w:val="555555"/>
          <w:sz w:val="17"/>
        </w:rPr>
        <w:t xml:space="preserve">Zitiervorschlag: Art 18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