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BayLErzGG (Bayern) — Rechtsweg</w:t>
      </w:r>
    </w:p>
    <w:p>
      <w:r>
        <w:rPr>
          <w:color w:val="555555"/>
          <w:sz w:val="18"/>
        </w:rPr>
        <w:t xml:space="preserve">Bayerisches Landeserziehungsgeldgesetz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Über öffentlich-rechtliche Streitigkeiten in Angelegenheiten der Art. 1 bis 8 entscheiden die Gerichte der Sozialgerichtsbarkeit. Widerspruch und Anfechtungsklage haben keine aufschiebende Wirkung.</w:t>
      </w:r>
    </w:p>
    <w:p>
      <w:r>
        <w:rPr>
          <w:color w:val="555555"/>
          <w:sz w:val="17"/>
        </w:rPr>
        <w:t xml:space="preserve">Zitiervorschlag: Art 9 BayLErzGG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https://recht.nulegal.eu/gesetze/BayLErzGG/9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