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BayLErzGG (Bayern) — Ordnungswidrigkeiten</w:t>
      </w:r>
    </w:p>
    <w:p>
      <w:r>
        <w:rPr>
          <w:color w:val="555555"/>
          <w:sz w:val="18"/>
        </w:rPr>
        <w:t xml:space="preserve">Bayerisches Landeserziehungsgeldgesetz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entgegen § 60 Abs. 1 Nrn. 1 oder 3 SGB I in Verbindung mit Art. 8 Abs. 1 auf Verlangen die leistungserheblichen Tatsachen nicht angibt oder Beweisurkunden nicht vorlegt,</w:t>
      </w:r>
    </w:p>
    <w:p>
      <w:r>
        <w:t xml:space="preserve">2. entgegen § 60 Abs. 1 Nr. 2 SGB I eine Änderung in den Verhältnissen, die für den Anspruch auf Landeserziehungsgeld erheblich ist, der zuständigen Behörde nicht, nicht richtig, nicht vollständig oder nicht rechtzeitig mitteilt,</w:t>
      </w:r>
    </w:p>
    <w:p>
      <w:r>
        <w:t xml:space="preserve">3. entgegen Art. 8 Abs. 2 auf Verlangen eine Bescheinigung nicht, nicht richtig oder nicht vollständig ausfüllt oder</w:t>
      </w:r>
    </w:p>
    <w:p>
      <w:r>
        <w:t xml:space="preserve">4. einer vollziehbaren Anordnung nach Art. 8 Abs. 3 zuwiderhandelt.</w:t>
      </w:r>
    </w:p>
    <w:p>
      <w:r>
        <w:t xml:space="preserve">(2) Die Ordnungswidrigkeit kann mit einer Geldbuße geahndet werden.</w:t>
      </w:r>
    </w:p>
    <w:p>
      <w:r>
        <w:t xml:space="preserve">(3) Verwaltungsbehörden im Sinn des § 36 Abs. 1 Nr. 1 des Gesetzes über Ordnungswidrigkeiten sind die gemäß Art. 12 Abs. 1 zuständigen Behörden.</w:t>
      </w:r>
    </w:p>
    <w:p>
      <w:r>
        <w:rPr>
          <w:color w:val="555555"/>
          <w:sz w:val="17"/>
        </w:rPr>
        <w:t xml:space="preserve">Zitiervorschlag: Art 10 BayLErzGG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https://recht.nulegal.eu/gesetze/BayLErzGG/10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