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BayLBG (Bayern) — Lehramt an Mittelschulen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Mittelschulen umfaßt:</w:t>
      </w:r>
    </w:p>
    <w:p>
      <w:r>
        <w:t xml:space="preserve">1. das erziehungswissenschaftliche Studium,</w:t>
      </w:r>
    </w:p>
    <w:p>
      <w:r>
        <w:t xml:space="preserve">2. das Studium der Didaktiken einer Fächergruppe der Mittelschule einschließlich der fachwissenschaftlichen Grundlagen,</w:t>
      </w:r>
    </w:p>
    <w:p>
      <w:r>
        <w:t xml:space="preserve">3. das Studium eines Unterrichtsfachs.</w:t>
      </w:r>
    </w:p>
    <w:p>
      <w:r>
        <w:rPr>
          <w:color w:val="555555"/>
          <w:sz w:val="17"/>
        </w:rPr>
        <w:t xml:space="preserve">Zitiervorschlag: Art 9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