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BayLBG (Bayern) — Lehrämter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Lehrämter sind:</w:t>
      </w:r>
    </w:p>
    <w:p>
      <w:r>
        <w:t xml:space="preserve">1. das Lehramt an Grundschulen,</w:t>
      </w:r>
    </w:p>
    <w:p>
      <w:r>
        <w:t xml:space="preserve">2. das Lehramt an Mittelschulen,</w:t>
      </w:r>
    </w:p>
    <w:p>
      <w:r>
        <w:t xml:space="preserve">3. das Lehramt an Realschulen,</w:t>
      </w:r>
    </w:p>
    <w:p>
      <w:r>
        <w:t xml:space="preserve">4. das Lehramt an Gymnasien,</w:t>
      </w:r>
    </w:p>
    <w:p>
      <w:r>
        <w:t xml:space="preserve">5. das Lehramt an beruflichen Schulen,</w:t>
      </w:r>
    </w:p>
    <w:p>
      <w:r>
        <w:t xml:space="preserve">6. das Lehramt für Sonderpädagogik.</w:t>
      </w:r>
    </w:p>
    <w:p>
      <w:r>
        <w:rPr>
          <w:color w:val="555555"/>
          <w:sz w:val="17"/>
        </w:rPr>
        <w:t xml:space="preserve">Zitiervorschlag: Art 2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