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BayLBG (Bayern) — Lehramt an beruflichen Schulen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Studium für das Lehramt an beruflichen Schulen umfaßt:</w:t>
      </w:r>
    </w:p>
    <w:p>
      <w:r>
        <w:t xml:space="preserve">1. das erziehungswissenschaftliche Studium,</w:t>
      </w:r>
    </w:p>
    <w:p>
      <w:r>
        <w:t xml:space="preserve">2. das vertiefte Studium einer beruflichen Fachrichtung,</w:t>
      </w:r>
    </w:p>
    <w:p>
      <w:r>
        <w:t xml:space="preserve">3. das Studium eines Unterrichtsfachs.</w:t>
      </w:r>
    </w:p>
    <w:p>
      <w:r>
        <w:t xml:space="preserve">(2) Art. 6 Abs. 1 Satz 5 bleibt unberührt.</w:t>
      </w:r>
    </w:p>
    <w:p>
      <w:r>
        <w:rPr>
          <w:color w:val="555555"/>
          <w:sz w:val="17"/>
        </w:rPr>
        <w:t xml:space="preserve">Zitiervorschlag: Art 12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