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BayLArztG (Bayern)</w:t>
      </w:r>
    </w:p>
    <w:p>
      <w:r>
        <w:rPr>
          <w:color w:val="555555"/>
          <w:sz w:val="18"/>
        </w:rPr>
        <w:t xml:space="preserve">Bayerisches Land- und Amtsarztgesetz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BayLArztG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https://recht.nulegal.eu/gesetze/BayLArztG/eingangsformel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