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5 BayLArztG (Bayern) — Bewerbungs- und Auswahlverfahren</w:t>
      </w:r>
    </w:p>
    <w:p>
      <w:r>
        <w:rPr>
          <w:color w:val="555555"/>
          <w:sz w:val="18"/>
        </w:rPr>
        <w:t xml:space="preserve">Bayerisches Land- und Amtsarztgesetz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Art. 3 gilt mit der Maßgabe, dass im Rahmen des Auswahlgesprächs nach Art. 3 Abs. 3 die Eignung auch im Hinblick auf die Tätigkeit im öffentlichen Gesundheitsdienst festgestellt wird.</w:t>
      </w:r>
    </w:p>
    <w:p>
      <w:r>
        <w:rPr>
          <w:color w:val="555555"/>
          <w:sz w:val="17"/>
        </w:rPr>
        <w:t xml:space="preserve">Zitiervorschlag: Art 5 BayLArztG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https://recht.nulegal.eu/gesetze/BayLArztG/5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5 BayLArztG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