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BayLArztG (Bayern) — Vertragsstrafe</w:t>
      </w:r>
    </w:p>
    <w:p>
      <w:r>
        <w:rPr>
          <w:color w:val="555555"/>
          <w:sz w:val="18"/>
        </w:rPr>
        <w:t xml:space="preserve">Bayerisches Land- und Amtsarztgesetz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Bewerberinnen und Bewerber verpflichten sich in dem öffentlich-rechtlichen Vertrag nach Art. 1 zu einer Vertragsstrafe in Höhe von 250 000 € für den Fall, dass sie einer ihrer vertraglichen Verpflichtungen nicht oder nicht vollständig nachkommen. Das Landesamt kann auf Antrag bei der Erfüllung der Verpflichtungen gemäß Art. 1 einen Aufschub gewähren oder auf die Vertragsstrafe gemäß Satz 1 ganz, teilweise oder zeitweise verzichten, wenn ansonsten eine besondere Härte eintreten würde.</w:t>
      </w:r>
    </w:p>
    <w:p>
      <w:r>
        <w:rPr>
          <w:color w:val="555555"/>
          <w:sz w:val="17"/>
        </w:rPr>
        <w:t xml:space="preserve">Zitiervorschlag: Art 2 BayLArztG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https://recht.nulegal.eu/gesetze/BayLArztG/2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