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BayKrG (Bayern) — Aufnahme in den Krankenhausplan</w:t>
      </w:r>
    </w:p>
    <w:p>
      <w:r>
        <w:rPr>
          <w:color w:val="555555"/>
          <w:sz w:val="18"/>
        </w:rPr>
        <w:t xml:space="preserve">Bayerisches Krankenhausgesetz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Krankenhaus ist bedarfsgerecht, wenn und soweit es zur Deckung des in seinem Einzugsgebiet vorhandenen Bedarfs an akutstationärer Versorgung notwendig und hierzu geeignet ist. Das Krankenhaus ist geeignet, wenn es die Gewähr dafür bietet, dass es nach seinem Standort und seiner Größenordnung innerhalb des abgestuften Versorgungssystems seine ihm zugeordnete Aufgabe medizinisch leistungsfähig und wirtschaftlich wahrnehmen kann.</w:t>
      </w:r>
    </w:p>
    <w:p>
      <w:r>
        <w:t xml:space="preserve">(2) Gegenüber dem Krankenhausträger wird festgestellt, ob und mit welchen Festlegungen im Sinn des Art. 4 sein Krankenhaus in den Krankenhausplan aufgenommen wird. Im Rahmen dieser Feststellung können auch Einschränkungen des Leistungsspektrums innerhalb einer Fachrichtung erfolgen. Die Festlegungen nach den Sätzen 1 und 2 können ganz oder teilweise widerrufen werden, wenn und soweit deren Voraussetzungen nicht nur vorübergehend nicht mehr vorliegen. Der teilweise Widerruf kann auch darin bestehen, dass einzelne Leistungen innerhalb einer Fachrichtung vom Versorgungsauftrag und damit von der Aufnahme in den Krankenhausplan ausgenommen werden.</w:t>
      </w:r>
    </w:p>
    <w:p>
      <w:r>
        <w:rPr>
          <w:color w:val="555555"/>
          <w:sz w:val="17"/>
        </w:rPr>
        <w:t xml:space="preserve">Zitiervorschlag: Art 5 BayKrG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https://recht.nulegal.eu/gesetze/BayKrG/5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