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BayKrG (Bayern) — Krankenhausplan</w:t>
      </w:r>
    </w:p>
    <w:p>
      <w:r>
        <w:rPr>
          <w:color w:val="555555"/>
          <w:sz w:val="18"/>
        </w:rPr>
        <w:t xml:space="preserve">Bayerisches Krankenhausgesetz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Krankenhausplan stellt die für die bedarfsgerechte Versorgung der Bevölkerung erforderlichen Krankenhäuser nach Standort, Zahl der Betten und teilstationären Plätze, Fachrichtungen sowie Versorgungsstufe dar. Der Krankenhausplan kann als Bestandteil auch planungsrelevante Qualitätsvorgaben sowie Fachprogramme enthalten, in denen spezifische Versorgungsschwerpunkte ausgewiesen werden. § 6 Abs. 1a Satz 1 KHG findet keine Anwendung.</w:t>
      </w:r>
    </w:p>
    <w:p>
      <w:r>
        <w:t xml:space="preserve">(2) Der Krankenhausplan legt Allgemeinkrankenhäuser mit drei Versorgungsstufen und Fachkrankenhäuser fest. Krankenhäuser der I. Versorgungsstufe dienen der Grundversorgung. Krankenhäuser der II. Versorgungsstufe erfüllen in Diagnose und Therapie auch überörtliche Schwerpunktaufgaben. Krankenhäuser der III. Versorgungsstufe halten im Rahmen des Bedarfs ein umfassendes und differenziertes Leistungsangebot sowie entsprechende medizinisch-technische Einrichtungen vor. Der Krankenhausplan kann allgemeine Grundsätze dazu enthalten, welche Fachrichtungen Krankenhäuser der einzelnen Versorgungsstufen in der Regel vorhalten.</w:t>
      </w:r>
    </w:p>
    <w:p>
      <w:r>
        <w:rPr>
          <w:color w:val="555555"/>
          <w:sz w:val="17"/>
        </w:rPr>
        <w:t xml:space="preserve">Zitiervorschlag: Art 4 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