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BayKrG (Bayern) — Grundsätze der Krankenhausplanung</w:t>
      </w:r>
    </w:p>
    <w:p>
      <w:r>
        <w:rPr>
          <w:color w:val="555555"/>
          <w:sz w:val="18"/>
        </w:rPr>
        <w:t xml:space="preserve">Bayerisches Krankenhausgesetz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Verwirklichung des in Art. 1 genannten Ziels wird ein Krankenhausplan für das gesamte Staatsgebiet aufgestellt und entsprechend der Entwicklung fortgeschrieben.</w:t>
      </w:r>
    </w:p>
    <w:p>
      <w:r>
        <w:t xml:space="preserve">(2) Die Krankenhausplanung wirkt auf wirtschaftliche Strukturen bei der bedarfsgerechten Versorgung durch medizinisch leistungsfähige Krankenhäuser hin. Dabei soll die – auch kommunale Gebietsgrenzen überschreitende – Zusammenarbeit der Krankenhäuser mit dem Ziel der Bildung von Behandlungsschwerpunkten im Einzugsbereich unterstützt werden.</w:t>
      </w:r>
    </w:p>
    <w:p>
      <w:r>
        <w:t xml:space="preserve">(3) Die Kooperation der Krankenhäuser mit niedergelassenen Ärzten, insbesondere beim kooperativen Belegarztwesen, mit den Rehabilitations- und Pflegeeinrichtungen sowie den übrigen an der Patientenversorgung beteiligten ambulanten und stationären Einrichtungen soll Berücksichtigung finden.</w:t>
      </w:r>
    </w:p>
    <w:p>
      <w:r>
        <w:t xml:space="preserve">(4) Die Hochschulklinikplanung und die Krankenhausplanung sind aufeinander abzustimmen. Der Bestand an Krankenhäusern nach § 108 Nr. 3 des Fünften Buches Sozialgesetzbuch (SGB V) ist bei der Krankenhausplanung zu berücksichtigen.</w:t>
      </w:r>
    </w:p>
    <w:p>
      <w:r>
        <w:rPr>
          <w:color w:val="555555"/>
          <w:sz w:val="17"/>
        </w:rPr>
        <w:t xml:space="preserve">Zitiervorschlag: Art 3 BayKrG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https://recht.nulegal.eu/gesetze/BayKrG/3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