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29 BayKrG (Bayern) — Einschränkung von Grundrechten</w:t>
      </w:r>
    </w:p>
    <w:p>
      <w:r>
        <w:rPr>
          <w:color w:val="555555"/>
          <w:sz w:val="18"/>
        </w:rPr>
        <w:t xml:space="preserve">Bayerisches Krankenhausgesetz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dieses Gesetzes kann das Grundrecht auf Leben und körperliche Unversehrtheit (Art. 2 Abs. 2 Satz 1 des Grundgesetzes) eingeschränkt werden.</w:t>
      </w:r>
    </w:p>
    <w:p>
      <w:r>
        <w:rPr>
          <w:color w:val="555555"/>
          <w:sz w:val="17"/>
        </w:rPr>
        <w:t xml:space="preserve">Zitiervorschlag: Art 29 BayKrG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https://recht.nulegal.eu/gesetze/BayKrG/29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