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26 BayKrG (Bayern) — Erlöschen von Ansprüchen</w:t>
      </w:r>
    </w:p>
    <w:p>
      <w:r>
        <w:rPr>
          <w:color w:val="555555"/>
          <w:sz w:val="18"/>
        </w:rPr>
        <w:t xml:space="preserve">Bayerisches Krankenhausgesetz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Zahlungsansprüche nach dem Krankenhausfinanzierungsgesetz und diesem Gesetz</w:t>
      </w:r>
    </w:p>
    <w:p>
      <w:r>
        <w:t xml:space="preserve">1. eines Krankenhausträgers gegen den Freistaat Bayern,</w:t>
      </w:r>
    </w:p>
    <w:p>
      <w:r>
        <w:t xml:space="preserve">2. des Freistaates Bayern gegen einen Krankenhausträger</w:t>
      </w:r>
    </w:p>
    <w:p>
      <w:r>
        <w:t xml:space="preserve">findet Art. 71 des Gesetzes zur Ausführung des Bürgerlichen Gesetzbuchs und anderer Gesetze in der jeweils geltenden Fassung Anwendung.</w:t>
      </w:r>
    </w:p>
    <w:p>
      <w:r>
        <w:rPr>
          <w:color w:val="555555"/>
          <w:sz w:val="17"/>
        </w:rPr>
        <w:t xml:space="preserve">Zitiervorschlag: Art 26 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https://recht.nulegal.eu/gesetze/BayKrG/26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