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BayKrG (Bayern) — Rechtsverordnungen</w:t>
      </w:r>
    </w:p>
    <w:p>
      <w:r>
        <w:rPr>
          <w:color w:val="555555"/>
          <w:sz w:val="18"/>
        </w:rPr>
        <w:t xml:space="preserve">Bayerisches Krankenhausgesetz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Staatsministerium wird ermächtigt, durch Rechtsverordnung zu regeln:</w:t>
      </w:r>
    </w:p>
    <w:p>
      <w:r>
        <w:t xml:space="preserve">1. die Durchführung des fachlichen Prüfungsverfahrens nach Art. 11 einschließlich der Übertragung der Zuständigkeit auf die Regierungen allgemein oder im Einzelfall,</w:t>
      </w:r>
    </w:p>
    <w:p>
      <w:r>
        <w:t xml:space="preserve">2. das Verwendungsnachweisverfahren im Rahmen seiner Zuständigkeit,</w:t>
      </w:r>
    </w:p>
    <w:p>
      <w:r>
        <w:t xml:space="preserve">3. das Verfahren zur Anpassung der Festbeträge an die Kostenentwicklung nach Art. 11 Abs. 4 Satz 5,</w:t>
      </w:r>
    </w:p>
    <w:p>
      <w:r>
        <w:t xml:space="preserve">4. die Ermittlung der Kostengrenze nach Art. 12 Abs. 1 Nr. 2 und die Bemessung der Förderbeträge nach Art. 12 Abs. 2 und Art. 17 Abs. 2,</w:t>
      </w:r>
    </w:p>
    <w:p>
      <w:r>
        <w:t xml:space="preserve">5. die durchschnittliche Nutzungsdauer von Anlagegütern,</w:t>
      </w:r>
    </w:p>
    <w:p>
      <w:r>
        <w:t xml:space="preserve">6. die Übertragung von Zuständigkeiten der Länder nach dem Fünften Buch Sozialgesetzbuch, dem Krankenhausfinanzierungsgesetz, dem Krankenhausentgeltgesetz und der Bundespflegesatzverordnung auf nachgeordnete Behörden oder auf die Regierungen,</w:t>
      </w:r>
    </w:p>
    <w:p>
      <w:r>
        <w:t xml:space="preserve">7. die nach dem Fünften Buch Sozialgesetzbuch, dem Krankenhausfinanzierungsgesetz und dem Krankenhausentgeltgesetz den Ländern übertragenen Fragen der Krankenhausplanung und -vergütung,</w:t>
      </w:r>
    </w:p>
    <w:p>
      <w:r>
        <w:t xml:space="preserve">8. dass die Krankenhausträger der Krankenhausplanungsbehörde jährlich bis zum 30. April über Inhalt und Umfang des Leistungsangebots und dessen Inanspruchnahme im Verlauf des vergangenen Jahres (Berichtszeitraum) zu berichten haben,</w:t>
      </w:r>
    </w:p>
    <w:p>
      <w:r>
        <w:t xml:space="preserve">9. die Nutzung eines einheitlichen Datenverarbeitungssystems zur Erfassung der Behandlungskapazitäten, deren Auslastung und bestimmter Diagnosen oder Patientengruppen.</w:t>
      </w:r>
    </w:p>
    <w:p>
      <w:r>
        <w:t xml:space="preserve">Bei den Nrn. 2 bis 5 ist das Einvernehmen des Staatsministeriums der Finanzen und für Heimat erforderlich.</w:t>
      </w:r>
    </w:p>
    <w:p>
      <w:r>
        <w:t xml:space="preserve">(2) Das Staatsministerium der Finanzen und für Heimat wird ermächtigt, durch Rechtsverordnung zu regeln:</w:t>
      </w:r>
    </w:p>
    <w:p>
      <w:r>
        <w:t xml:space="preserve">1. das Bewilligungsverfahren einschließlich des Verwendungsnachweisverfahrens im Rahmen seiner Zuständigkeit und der Übertragung der Zuständigkeiten auf die Regierungen allgemein oder im Einzelfall,</w:t>
      </w:r>
    </w:p>
    <w:p>
      <w:r>
        <w:t xml:space="preserve">2. das Verfahren zur Anpassung der Förderung von Nutzungsentgelten nach Art. 13 Abs. 1 Satz 5 an die Kostenentwicklung,</w:t>
      </w:r>
    </w:p>
    <w:p>
      <w:r>
        <w:t xml:space="preserve">3. das Nähere zur Kürzung von Fördermitteln und zur Erstattung von Entgelten bei der Mitbenutzung von Anlagegütern nach Art. 21 Abs. 2,</w:t>
      </w:r>
    </w:p>
    <w:p>
      <w:r>
        <w:t xml:space="preserve">4. die Anwendung der jeweils geltenden Vergabevorschriften bei der Auftragsvergabe,</w:t>
      </w:r>
    </w:p>
    <w:p>
      <w:r>
        <w:t xml:space="preserve">5. die Einbehaltung einer Schlussrate zur Vermeidung von Überzahlungen und zur Sicherung der fristgerechten Vorlage des Verwendungsnachweises,</w:t>
      </w:r>
    </w:p>
    <w:p>
      <w:r>
        <w:t xml:space="preserve">6. die Berechnung der Zinsen für ausbezahlte Fördermittel nach Art. 12 Abs. 4.</w:t>
      </w:r>
    </w:p>
    <w:p>
      <w:r>
        <w:t xml:space="preserve">Bei den Nrn. 1 bis 5 ist das Einvernehmen des Staatsministeriums erforderlich.</w:t>
      </w:r>
    </w:p>
    <w:p>
      <w:r>
        <w:rPr>
          <w:color w:val="555555"/>
          <w:sz w:val="17"/>
        </w:rPr>
        <w:t xml:space="preserve">Zitiervorschlag: Art 23 BayKrG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https://recht.nulegal.eu/gesetze/BayKrG/23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