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BayKrG (Bayern) — Widerruf von Förderbescheiden und Erstattung von Fördermitteln</w:t>
      </w:r>
    </w:p>
    <w:p>
      <w:r>
        <w:rPr>
          <w:color w:val="555555"/>
          <w:sz w:val="18"/>
        </w:rPr>
        <w:t xml:space="preserve">Bayerisches Krankenhausgesetz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nach Art. 11 Abs. 1 geförderte Krankenhauseinrichtungen auf Grund einer Umstrukturierung des Krankenhauses zu Zwecken außerhalb der akutstationären Krankenversorgung umgewidmet, soll von einem Widerruf der Förderbescheide abgesehen werden, wenn</w:t>
      </w:r>
    </w:p>
    <w:p>
      <w:r>
        <w:t xml:space="preserve">1. seit Inbetriebnahme der Krankenhauseinrichtungen regelmäßig ein Zeitraum von 15 Jahren abgelaufen ist,</w:t>
      </w:r>
    </w:p>
    <w:p>
      <w:r>
        <w:t xml:space="preserve">2. der Umwidmung krankenhausplanerische Interessen nicht entgegenstehen und</w:t>
      </w:r>
    </w:p>
    <w:p>
      <w:r>
        <w:t xml:space="preserve">3. der Krankenhausträger erzielbare Entgelte aus der neuen Nutzung in Höhe eines angemessenen Investitionskostenanteils an den Freistaat Bayern erstattet; werden mit der Umstrukturierung die Zielsetzungen der Krankenhausplanung nach Art. 3 Abs. 2 und 3 umgesetzt, darf der Krankenhausträger diese Entgelte zu 50 v.H. seinen Pauschalmitteln nach Art. 12 zuführen.</w:t>
      </w:r>
    </w:p>
    <w:p>
      <w:r>
        <w:t xml:space="preserve">Von einem Widerruf der Förderbescheide soll bei der Umwidmung weiterhin bedarfsnotwendiger Krankenhauseinrichtungen regelmäßig dann abgesehen werden, wenn und soweit als Ersatz eine eigenfinanzierte, qualitativ und funktional gleichwertige Krankenhauseinrichtung bereitgestellt und dort die Fördermittelzweckbindung nach Art. 18 Abs. 1 übernommen wird; der Umwidmung dürfen krankenhausplanerische Interessen nicht entgegenstehen.</w:t>
      </w:r>
    </w:p>
    <w:p>
      <w:r>
        <w:t xml:space="preserve">(2) Scheidet ein Krankenhaus oder eine unselbständige Betriebsstätte eines Krankenhauses vollständig oder teilweise aus dem Krankenhausplan aus, sind die Förderbescheide insoweit zu widerrufen. Liegt das Ausscheiden im krankenhausplanerischen Interesse, ist vom Widerruf abzusehen, wenn und soweit</w:t>
      </w:r>
    </w:p>
    <w:p>
      <w:r>
        <w:t xml:space="preserve">1. krankenhausspezifische bauliche Investitionen in Krankenhausgebäuden zu keiner Steigerung des Gebäudewertes für Nachfolgenutzungen geführt haben und auch nicht entsprechend ihrer ursprünglichen oder einer ähnlichen Zweckbestimmung weiter verwendbar sind,</w:t>
      </w:r>
    </w:p>
    <w:p>
      <w:r>
        <w:t xml:space="preserve">2. umsetzbare Anlagegüter anderweitig für die Akutversorgung eingesetzt werden können oder</w:t>
      </w:r>
    </w:p>
    <w:p>
      <w:r>
        <w:t xml:space="preserve">3. bei einer nur teilweisen Schließung eines Krankenhauses umsetzbare Anlagegüter veräußert werden und der Krankenhausträger den Veräußerungserlös seinen pauschalen Fördermitteln nach Art. 12 zuführt.</w:t>
      </w:r>
    </w:p>
    <w:p>
      <w:r>
        <w:t xml:space="preserve">Liegt das Ausscheiden im krankenhausplanerischen Interesse, soll vom Widerruf abgesehen werden, wenn und soweit</w:t>
      </w:r>
    </w:p>
    <w:p>
      <w:r>
        <w:t xml:space="preserve">1. Anlagegüter einer anderen, im sozialstaatlichen Interesse liegenden Zweckbestimmung zugeführt werden und durch die neue Nutzung eine Refinanzierung geförderter Investitionen nicht gegeben ist,</w:t>
      </w:r>
    </w:p>
    <w:p>
      <w:r>
        <w:t xml:space="preserve">2. Anlagegüter für andere förderfähige kommunale Zwecke oder zur Erfüllung einer anderen kommunalen Aufgabe verwendet werden und durch die neue Nutzung eine Refinanzierung geförderter Investitionen nicht gegeben ist oder</w:t>
      </w:r>
    </w:p>
    <w:p>
      <w:r>
        <w:t xml:space="preserve">3. in sachlichem und zeitlichem Zusammenhang mit dem Ausscheiden aus dem Krankenhausplan an demselben oder einem anderen Krankenhausstandort grundsätzlich nach Art. 11 förderfähige, bedarfsnotwendige Krankenhausinvestitionen eigenfinanziert werden und dort die Fördermittelzweckbindung nach Art. 18 Abs. 1 übernommen wird.</w:t>
      </w:r>
    </w:p>
    <w:p>
      <w:r>
        <w:t xml:space="preserve">(3) Soweit mit den Fördermitteln Anlagegüter angeschafft worden sind, vermindert sich die Verpflichtung zur Erstattung der Fördermittel entsprechend der abgelaufenen regelmäßigen Nutzungsdauer der jeweils geförderten Anlagegüter. Liegt das vollständige oder teilweise Ausscheiden des Krankenhauses oder der unselbständigen Betriebsstätte eines Krankenhauses aus dem Krankenhausplan im krankenhausplanerischen Interesse, besteht die Verpflichtung zur Erstattung der Fördermittel nur bis zur Höhe des erzielbaren Verwertungserlöses der geförderten Anlagegüter; dies kann in Teilbeträgen erfolgen.</w:t>
      </w:r>
    </w:p>
    <w:p>
      <w:r>
        <w:t xml:space="preserve">(4) Erstattungsbeträge nach Art. 19 Abs. 1 Satz 1 Nr. 3 und Abs. 3 Satz 2 sowie Art. 21 Abs. 1 Satz 1 Nr. 2 und Abs. 2 Satz 2, die für vergangene Zeiträume zu leisten sind, sind vom Krankenhausträger mit drei Prozentpunkten über dem Basiszinssatz jährlich zu verzinsen. Zur Vermeidung einer unbilligen Härte kann von der Geltendmachung des Zinsanspruchs abgesehen werden, wenn der Krankenhausträger den zu erstattenden Betrag innerhalb der von der zuständigen Behörde festgesetzten Frist leistet.</w:t>
      </w:r>
    </w:p>
    <w:p>
      <w:r>
        <w:t xml:space="preserve">(5) Erstattungsforderungen können mit Förderleistungen auf Grund des Krankenhausfinanzierungsgesetzes und nach diesem Gesetz sowie mit Leistungen nach dem Finanzausgleichsgesetz verrechnet werden.</w:t>
      </w:r>
    </w:p>
    <w:p>
      <w:r>
        <w:rPr>
          <w:color w:val="555555"/>
          <w:sz w:val="17"/>
        </w:rPr>
        <w:t xml:space="preserve">Zitiervorschlag: Art 19 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