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BayKrG (Bayern) — Ausgleich für Eigenkapital</w:t>
      </w:r>
    </w:p>
    <w:p>
      <w:r>
        <w:rPr>
          <w:color w:val="555555"/>
          <w:sz w:val="18"/>
        </w:rPr>
        <w:t xml:space="preserve">Bayerisches Krankenhausgesetz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in einem Krankenhaus bei Beginn der Förderung mit Eigenmitteln beschaffte, abnutzbare und förderfähige Anlagegüter vorhanden, deren regelmäßige Nutzungsdauer zu diesem Zeitpunkt noch nicht abgelaufen ist, so wird dem Krankenhausträger bei Ausscheiden des Krankenhauses aus dem Krankenhausplan auf Antrag eine pauschale Ausgleichszahlung gewährt. Die pauschale Ausgleichszahlung beträgt 500 € für jeden Behandlungsplatz, der im bedarfsplanerischen Zusammenhang mit der Schließung des Krankenhauses aus dem Krankenhausplan und der akutstationären Krankenversorgung ausscheidet.</w:t>
      </w:r>
    </w:p>
    <w:p>
      <w:r>
        <w:t xml:space="preserve">(2) Ist die berücksichtigungsfähige Abnutzung nachweislich höher als die Pauschale nach Abs. 1, so wird dem Träger auf Antrag der höhere Ausgleichsbetrag gewährt. Für die Berechnung des Ausgleichsbetrags werden der Buchwert der mit Eigenmitteln beschafften Anlagegüter bei Beginn der Förderung und die hierauf beruhenden Abschreibungen während der Zeit der Förderung zugrunde gelegt. Zweckgebundene Zuwendungen werden nicht als Eigenmittel berücksichtigt. Ein Ausgleichsanspruch nach Satz 1 besteht nicht, soweit eine Ersatzinvestition gefördert wurde, deren Nutzungswert bei Ausscheiden des Krankenhauses aus dem Krankenhausplan dem nach Satz 2 berechneten Ausgleichsbetrag entspricht; für Anlagegüter, deren Wiederbeschaffung pauschal gefördert wurde, ist der Nutzungswert aller mit den Pauschalmitteln beschafften Anlagegütern maßgebend.</w:t>
      </w:r>
    </w:p>
    <w:p>
      <w:r>
        <w:t xml:space="preserve">(3) Abs. 1 und 2 gelten entsprechend, wenn alle Behandlungsplätze einer unselbständigen Betriebsstätte eines Krankenhauses aus dem Krankenhausplan ausscheiden.</w:t>
      </w:r>
    </w:p>
    <w:p>
      <w:r>
        <w:rPr>
          <w:color w:val="555555"/>
          <w:sz w:val="17"/>
        </w:rPr>
        <w:t xml:space="preserve">Zitiervorschlag: Art 16 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