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BayKrG (Bayern) — Ziel des Gesetzes</w:t>
      </w:r>
    </w:p>
    <w:p>
      <w:r>
        <w:rPr>
          <w:color w:val="555555"/>
          <w:sz w:val="18"/>
        </w:rPr>
        <w:t xml:space="preserve">Bayerisches Krankenhausgesetz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Ziel dieses Gesetzes ist eine bedarfsgerechte stationäre Versorgung der Bevölkerung im Freistaat Bayern durch ein funktional abgestuftes und effizient strukturiertes Netz einander ergänzender Krankenhäuser freigemeinnütziger, privater und öffentlich-rechtlicher Träger. Dies soll auf der Grundlage der Krankenhausplanung durch die Förderung eigenverantwortlich wirtschaftender, leistungsfähiger Krankenhäuser erreicht werden.</w:t>
      </w:r>
    </w:p>
    <w:p>
      <w:r>
        <w:rPr>
          <w:color w:val="555555"/>
          <w:sz w:val="17"/>
        </w:rPr>
        <w:t xml:space="preserve">Zitiervorschlag: Art 1 BayKrG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https://recht.nulegal.eu/gesetze/BayKrG/1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