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BayKompV (Bayern) — (§ 20 Abs. 3 Satz 3) Bemessung der Ersatzzahlungen für Beeinträchtigungen des Landschaftsbilds</w:t>
      </w:r>
    </w:p>
    <w:p>
      <w:r>
        <w:rPr>
          <w:color w:val="555555"/>
          <w:sz w:val="18"/>
        </w:rPr>
        <w:t xml:space="preserve">Bayerische Kompensationsverordnung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Spalte 1</w:t>
      </w:r>
    </w:p>
    <w:p>
      <w:r>
        <w:t xml:space="preserve">Spalte 2</w:t>
      </w:r>
    </w:p>
    <w:p>
      <w:r>
        <w:t xml:space="preserve">Bewertung des Schutzguts Landschaftsbild gemäß Anlage 2.2</w:t>
      </w:r>
    </w:p>
    <w:p>
      <w:r>
        <w:t xml:space="preserve">Bemessung der Ersatzzahlungen nach der Höhe der Baukosten entsprechend der Intensität der vorhabensbezogenen Wirkungen</w:t>
      </w:r>
    </w:p>
    <w:p>
      <w:r>
        <w:t xml:space="preserve">hoch</w:t>
      </w:r>
    </w:p>
    <w:p>
      <w:r>
        <w:t xml:space="preserve">mittel</w:t>
      </w:r>
    </w:p>
    <w:p>
      <w:r>
        <w:t xml:space="preserve">gering</w:t>
      </w:r>
    </w:p>
    <w:p>
      <w:r>
        <w:t xml:space="preserve">Nicht erheblich</w:t>
      </w:r>
    </w:p>
    <w:p>
      <w:r>
        <w:t xml:space="preserve">sehr hoch</w:t>
      </w:r>
    </w:p>
    <w:p>
      <w:r>
        <w:t xml:space="preserve">9 %</w:t>
      </w:r>
    </w:p>
    <w:p>
      <w:r>
        <w:t xml:space="preserve">7 %</w:t>
      </w:r>
    </w:p>
    <w:p>
      <w:r>
        <w:t xml:space="preserve">5 %</w:t>
      </w:r>
    </w:p>
    <w:p>
      <w:r>
        <w:t xml:space="preserve">0</w:t>
      </w:r>
    </w:p>
    <w:p>
      <w:r>
        <w:t xml:space="preserve">hoch</w:t>
      </w:r>
    </w:p>
    <w:p>
      <w:r>
        <w:t xml:space="preserve">7 %</w:t>
      </w:r>
    </w:p>
    <w:p>
      <w:r>
        <w:t xml:space="preserve">5 %</w:t>
      </w:r>
    </w:p>
    <w:p>
      <w:r>
        <w:t xml:space="preserve">4 %</w:t>
      </w:r>
    </w:p>
    <w:p>
      <w:r>
        <w:t xml:space="preserve">0</w:t>
      </w:r>
    </w:p>
    <w:p>
      <w:r>
        <w:t xml:space="preserve">mittel</w:t>
      </w:r>
    </w:p>
    <w:p>
      <w:r>
        <w:t xml:space="preserve">5 %</w:t>
      </w:r>
    </w:p>
    <w:p>
      <w:r>
        <w:t xml:space="preserve">3 %</w:t>
      </w:r>
    </w:p>
    <w:p>
      <w:r>
        <w:t xml:space="preserve">2 %</w:t>
      </w:r>
    </w:p>
    <w:p>
      <w:r>
        <w:t xml:space="preserve">0</w:t>
      </w:r>
    </w:p>
    <w:p>
      <w:r>
        <w:t xml:space="preserve">gering</w:t>
      </w:r>
    </w:p>
    <w:p>
      <w:r>
        <w:t xml:space="preserve">3 %</w:t>
      </w:r>
    </w:p>
    <w:p>
      <w:r>
        <w:t xml:space="preserve">2 %</w:t>
      </w:r>
    </w:p>
    <w:p>
      <w:r>
        <w:t xml:space="preserve">1 %</w:t>
      </w:r>
    </w:p>
    <w:p>
      <w:r>
        <w:t xml:space="preserve">0</w:t>
      </w:r>
    </w:p>
    <w:p>
      <w:r>
        <w:t xml:space="preserve">Erheblichkeitsschwelle</w:t>
      </w:r>
    </w:p>
    <w:p>
      <w:r>
        <w:t xml:space="preserve">Sind von einem Vorhaben unterschiedliche Wertstufen des Landschaftsbilds betroffen, ist ein gemittelter Betrag in Euro anzusetzen.</w:t>
      </w:r>
    </w:p>
    <w:p>
      <w:r>
        <w:rPr>
          <w:color w:val="555555"/>
          <w:sz w:val="17"/>
        </w:rPr>
        <w:t xml:space="preserve">Zitiervorschlag: Anlage 5 BayKompV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https://recht.nulegal.eu/gesetze/BayKompV/anlage-5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