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BayKompV (Bayern) — Vermeidung erheblicher Beeinträchtigungen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Vorrangig sind erhebliche bau-, anlagen- und betriebsbedingte Beeinträchtigungen von Natur und Landschaft gemäß § 15 Abs. 1 BNatSchG zu vermeiden.</w:t>
      </w:r>
    </w:p>
    <w:p>
      <w:r>
        <w:t xml:space="preserve">(2) Maßnahmen zur Vermeidung von Beeinträchtigungen von Naturhaushalt und Landschaftsbild sind alle zumutbaren Maßnahmen, die das Eintreten erheblicher Beeinträchtigungen ganz oder teilweise verhindern (Vermeidungsmaßnahmen).</w:t>
      </w:r>
    </w:p>
    <w:p>
      <w:r>
        <w:rPr>
          <w:color w:val="555555"/>
          <w:sz w:val="17"/>
        </w:rPr>
        <w:t xml:space="preserve">Zitiervorschlag: § 6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