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BayKompV (Bayern) — Ermittlung und Bewertung der Auswirkungen von Eingriffen</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Ermittlung der Auswirkungen des Eingriffs sind die zu erwartenden erheblichen Beeinträchtigungen der Leistungs- und Funktionsfähigkeit des Naturhaushalts und des Landschaftsbilds durch den Eingriff zu ermitteln und zu bewerten.</w:t>
      </w:r>
    </w:p>
    <w:p>
      <w:r>
        <w:t xml:space="preserve">(2) Die Erheblichkeit der Beeinträchtigungen ergibt sich aus den Funktionsausprägungen der Schutzgüter gemäß § 4 sowie der Stärke, Dauer und Reichweite (Intensität) der bau-, anlage- und betriebsbedingten Wirkungen des Vorhabens. Eingriffe sind nicht erheblich, wenn zu erwarten ist, dass sich die beeinträchtigten Funktionen der Schutzgüter innerhalb einer Frist von drei Jahren nach Inanspruchnahme auf der betroffenen Fläche selbstständig wiederherstellen und nach Ablauf dieser Frist keine nachhaltigen negativen Auswirkungen auf die Funktionen der Schutzgüter verbleiben.</w:t>
      </w:r>
    </w:p>
    <w:p>
      <w:r>
        <w:t xml:space="preserve">(3) Die Intensität vorhabensbezogener Wirkungen wird für das Schutzgut Arten und Lebensräume wie folgt bewertet:</w:t>
      </w:r>
    </w:p>
    <w:p>
      <w:r>
        <w:t xml:space="preserve">1. Die Beeinträchtigung flächenbezogen bewertbarer Merkmale und Ausprägungen ist nach Anlage 3.1 Spalte 3 einzustufen.</w:t>
      </w:r>
    </w:p>
    <w:p>
      <w:r>
        <w:t xml:space="preserve">2. Die Beeinträchtigung nicht flächenbezogen bewertbarer Merkmale und Ausprägungen ist verbal argumentativ zu bewerten.</w:t>
      </w:r>
    </w:p>
    <w:p>
      <w:r>
        <w:t xml:space="preserve">Die Beeinträchtigung aller weiteren Schutzgüter wird verbal argumentativ bewertet.</w:t>
      </w:r>
    </w:p>
    <w:p>
      <w:r>
        <w:rPr>
          <w:color w:val="555555"/>
          <w:sz w:val="17"/>
        </w:rPr>
        <w:t xml:space="preserve">Zitiervorschlag: § 5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