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BayKompV (Bayern) — Wirkraum</w:t>
      </w:r>
    </w:p>
    <w:p>
      <w:r>
        <w:rPr>
          <w:color w:val="555555"/>
          <w:sz w:val="18"/>
        </w:rPr>
        <w:t xml:space="preserve">Bayerische Kompensationsverordnung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Auswirkungen des Eingriffs werden im Wirkraum erfasst. Der Wirkraum umfasst den durch den Eingriff betroffenen Raum, in dem sich anlage-, bau- und betriebsbedingte Wirkungen im Sinn des § 14 Abs. 1 BNatSchG ergeben können.</w:t>
      </w:r>
    </w:p>
    <w:p>
      <w:r>
        <w:rPr>
          <w:color w:val="555555"/>
          <w:sz w:val="17"/>
        </w:rPr>
        <w:t xml:space="preserve">Zitiervorschlag: § 3 BayKompV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https://recht.nulegal.eu/gesetze/BayKompV/3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