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BayKompV (Bayern) — Übergangsregelung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Verfahren, die vor Inkrafttreten der Verordnung beantragt oder entsprechend einer gesetzlichen Anzeigepflicht angezeigt wurden, sind die Regelungen der Verordnung nicht anzuwenden, soweit nicht der Vorhabensträger die Anwendung beantragt.</w:t>
      </w:r>
    </w:p>
    <w:p>
      <w:r>
        <w:t xml:space="preserve">(2) Ökokontomaßnahmen, die vor Inkrafttreten der Verordnung durchgeführt wurden, werden berücksichtigt, wenn sie ins Ökoflächenkataster eingetragen sind oder nachweislich von der zuständigen unteren Naturschutzbehörde entsprechend den jeweils geltenden gesetzlichen Regelungen anerkannt wurden.</w:t>
      </w:r>
    </w:p>
    <w:p>
      <w:r>
        <w:rPr>
          <w:color w:val="555555"/>
          <w:sz w:val="17"/>
        </w:rPr>
        <w:t xml:space="preserve">Zitiervorschlag: § 23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