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BayKompV (Bayern) — Erhebung und Fälligkeit</w:t>
      </w:r>
    </w:p>
    <w:p>
      <w:r>
        <w:rPr>
          <w:color w:val="555555"/>
          <w:sz w:val="18"/>
        </w:rPr>
        <w:t xml:space="preserve">Bayerische Kompensationsverordnung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Ersatzzahlung ist im Zulassungsbescheid oder, wenn der Eingriff von einer Behörde durchgeführt wird, vor der Durchführung des Eingriffs festzusetzen. Die Zahlung ist vor der Durchführung des Eingriffs zu leisten.</w:t>
      </w:r>
    </w:p>
    <w:p>
      <w:r>
        <w:t xml:space="preserve">(2) Bei Eingriffen, die nach Abschnitten vorgenommen werden, kann die Ersatzzahlung für den einzelnen Abschnitt festgesetzt werden. Abs. 1 Satz 2 gilt entsprechend. Der Beginn des Eingriffs im jeweiligen Abschnitt ist der festsetzenden Behörde anzuzeigen.</w:t>
      </w:r>
    </w:p>
    <w:p>
      <w:r>
        <w:t xml:space="preserve">(3) Es kann ein anderer Zeitpunkt für die Zahlung festgelegt werden. In diesem Fall soll eine angemessene Sicherheitsleistung verlangt werden.</w:t>
      </w:r>
    </w:p>
    <w:p>
      <w:r>
        <w:rPr>
          <w:color w:val="555555"/>
          <w:sz w:val="17"/>
        </w:rPr>
        <w:t xml:space="preserve">Zitiervorschlag: § 21 BayKompV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https://recht.nulegal.eu/gesetze/BayKompV/21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