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BayKompV (Bayern) — Grundsätze der Kompensation</w:t>
      </w:r>
    </w:p>
    <w:p>
      <w:r>
        <w:rPr>
          <w:color w:val="555555"/>
          <w:sz w:val="18"/>
        </w:rPr>
        <w:t xml:space="preserve">Bayerische Kompensationsverordnung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Ausgleichs- und Ersatzmaßnahmen im Sinn des § 15 Abs. 2 BNatSchG sowie Maßnahmen nach den Teilen 4 und 5 setzen voraus, dass sie</w:t>
      </w:r>
    </w:p>
    <w:p>
      <w:r>
        <w:t xml:space="preserve">1. eine Aufwertung für Naturhaushalt und Landschaftsbild bewirken,</w:t>
      </w:r>
    </w:p>
    <w:p>
      <w:r>
        <w:t xml:space="preserve">2. nach Maßgabe des § 10 zur Verfügung stehen, solange der Eingriff wirkt,</w:t>
      </w:r>
    </w:p>
    <w:p>
      <w:r>
        <w:t xml:space="preserve">3. ohne anderweitige rechtliche Verpflichtung durchgeführt werden,</w:t>
      </w:r>
    </w:p>
    <w:p>
      <w:r>
        <w:t xml:space="preserve">4. ohne Inanspruchnahme öffentlicher Fördermittel durchgeführt werden und</w:t>
      </w:r>
    </w:p>
    <w:p>
      <w:r>
        <w:t xml:space="preserve">5. Programmen und Plänen nach §§ 10 und 11 BNatSchG nicht widersprechen.</w:t>
      </w:r>
    </w:p>
    <w:p>
      <w:r>
        <w:t xml:space="preserve">Eine rechtliche Verpflichtung im Sinn von Satz 1 Nr. 3 besteht auch dann, wenn die Maßnahme im Rahmen der guten fachlichen Praxis nach Art. 6 Abs. 4 BayNatSchG oder auf Grund der öffentlich-rechtlichen Verpflichtung zur Unterhaltung der Gewässer erforderlich ist. Eine Ausgleichs- und Ersatzmaßnahme kann anerkannt werden, wenn das Gesamtvorhaben als solches teilweise oder vollständig durch die öffentliche Hand gefördert wird und die Förderung die Vornahme der naturschutzrechtlichen Maßnahme lediglich mitumfasst.</w:t>
      </w:r>
    </w:p>
    <w:p>
      <w:r>
        <w:t xml:space="preserve">(2) Festlegungen von</w:t>
      </w:r>
    </w:p>
    <w:p>
      <w:r>
        <w:t xml:space="preserve">1. Entwicklungs- und Wiederherstellungsmaßnahmen für Gebiete im Sinn von § 20 Abs. 2 Nrn. 1 bis 4 und 7 BNatSchG und in Bewirtschaftungsplänen nach § 32 Abs. 5 BNatSchG,</w:t>
      </w:r>
    </w:p>
    <w:p>
      <w:r>
        <w:t xml:space="preserve">2. Maßnahmen zur Sicherung des Zusammenhangs des Netzes „Natura 2000“ nach § 34 Abs. 5 BNatSchG,</w:t>
      </w:r>
    </w:p>
    <w:p>
      <w:r>
        <w:t xml:space="preserve">3. artenschutzrechtlichen Maßnahmen nach § 44 Abs. 5 Satz 3 und § 45 Abs. 7 BNatSchG,</w:t>
      </w:r>
    </w:p>
    <w:p>
      <w:r>
        <w:t xml:space="preserve">4. Maßnahmen in Maßnahmeprogrammen im Sinn des § 82 des Wasserhaushaltsgesetzes (WHG)</w:t>
      </w:r>
    </w:p>
    <w:p>
      <w:r>
        <w:t xml:space="preserve">stehen der Anerkennung solcher Maßnahmen als Ausgleichs-, Ersatz- oder Ökokontomaßnahmen nicht entgegen.</w:t>
      </w:r>
    </w:p>
    <w:p>
      <w:r>
        <w:rPr>
          <w:color w:val="555555"/>
          <w:sz w:val="17"/>
        </w:rPr>
        <w:t xml:space="preserve">Zitiervorschlag: § 2 BayKompV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https://recht.nulegal.eu/gesetze/BayKompV/2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