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BayKompV (Bayern) — Handelbarkeit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Wird eine ins Ökokonto eingestellte Fläche veräußert, ist der Eigentumsübergang der unteren Naturschutzbehörde anzuzeigen.</w:t>
      </w:r>
    </w:p>
    <w:p>
      <w:r>
        <w:t xml:space="preserve">(2) Sollen nicht das Eigentum, sondern nur die Wertpunkte auf einen Dritten übertragen werden, so setzt das voraus, dass die Ausgleichs- und Ersatzmaßnahme ab dem Zeitpunkt ihrer Abbuchung gemäß § 11 Abs. 2 rechtlich gesichert ist. Abs. 1 gilt entsprechend.</w:t>
      </w:r>
    </w:p>
    <w:p>
      <w:r>
        <w:t xml:space="preserve">(3) Das Ökoflächenkataster nach Art. 9 BayNatSchG ist so auszugestalten, dass die Ökokontoflächen und -maßnahmen öffentlich einsehbar sind. Ausgenommen sind Angaben zu personenbezogenen Daten nach § 15 Abs. 2, deren öffentlichen Einsehbarkeit der Grundstückseigentümer oder Maßnahmenträger bei der Aufnahme ins Ökoflächenkataster widersprochen hat.</w:t>
      </w:r>
    </w:p>
    <w:p>
      <w:r>
        <w:rPr>
          <w:color w:val="555555"/>
          <w:sz w:val="17"/>
        </w:rPr>
        <w:t xml:space="preserve">Zitiervorschlag: § 17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