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BayKompV (Bayern) — Ökokontomaßnahmen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Ökokontomaßnahmen kommen insbesondere dauerhafte Maßnahmen gemäß Anlage 4.1 Spalte 6 und Anlage 4.2 Spalte 5 in Betracht.</w:t>
      </w:r>
    </w:p>
    <w:p>
      <w:r>
        <w:t xml:space="preserve">(2) Die Ökokontomaßnahme muss eine Aufwertung von mindestens 15 000 Wertpunkten erbringen oder die Ökokontofläche mindestens 2 000 m 2 umfassen, bei besonderer ökologischer Bedeutung der Maßnahmen, insbesondere bei hoher Wertigkeit des Ausgangszustands, in begründeten Fällen auch weniger.</w:t>
      </w:r>
    </w:p>
    <w:p>
      <w:r>
        <w:rPr>
          <w:color w:val="555555"/>
          <w:sz w:val="17"/>
        </w:rPr>
        <w:t xml:space="preserve">Zitiervorschlag: § 14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