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BayKompV (Bayern) — Landschaftspflegerischer Begleitplan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Vorliegen der Voraussetzungen des § 17 Abs. 4 Satz 3 BNatSchG ist ein landschaftspflegerischer Begleitplan in Text und Karte vorzulegen. Gutachten im Sinn des § 17 Abs. 4 Satz 2 BNatSchG müssen die Anforderungen an einen landschaftspflegerischen Begleitplan dann erfüllen, wenn die Auswirkungen eines Eingriffs denen eines nach öffentlichem Recht vorgesehenen Fachplans entsprechen.</w:t>
      </w:r>
    </w:p>
    <w:p>
      <w:r>
        <w:t xml:space="preserve">(2) Der landschaftspflegerische Begleitplan muss mindestens folgende Aussagen enthalten:</w:t>
      </w:r>
    </w:p>
    <w:p>
      <w:r>
        <w:t xml:space="preserve">1. Erfassung und Bewertung des Ausgangszustands gemäß § 4 im jeweiligen Wirkraum des Eingriffs gemäß § 3,</w:t>
      </w:r>
    </w:p>
    <w:p>
      <w:r>
        <w:t xml:space="preserve">2. Ermittlung und Bewertung der Auswirkungen des Eingriffs gemäß § 5,</w:t>
      </w:r>
    </w:p>
    <w:p>
      <w:r>
        <w:t xml:space="preserve">3. Maßnahmen zur Eingriffsvermeidung gemäß § 6,</w:t>
      </w:r>
    </w:p>
    <w:p>
      <w:r>
        <w:t xml:space="preserve">4. Ermittlung des Kompensationsbedarfs gemäß § 7,</w:t>
      </w:r>
    </w:p>
    <w:p>
      <w:r>
        <w:t xml:space="preserve">5. die Maßnahmen zum Ausgleich und Ersatz einschließlich</w:t>
      </w:r>
    </w:p>
    <w:p>
      <w:r>
        <w:t xml:space="preserve">a) der Gründe für ihre Auswahl und ihren Umfang gemäß § 8,</w:t>
      </w:r>
    </w:p>
    <w:p>
      <w:r>
        <w:t xml:space="preserve">b) der vorgesehenen Entwicklungsziele, der zur Erreichung der Entwicklungsziele erforderlichen Herstellungs- und Entwicklungsmaßnahmen sowie des zur Erreichung der Entwicklungsziele voraussichtlich erforderlichen Zeitraums,</w:t>
      </w:r>
    </w:p>
    <w:p>
      <w:r>
        <w:t xml:space="preserve">c) Angaben zu den zur Sicherung des Zusammenhangs des Netzes „Natura 2000“ notwendigen Maßnahmen nach § 34 Abs. 5 BNatSchG und zu den vorgezogenen Ausgleichsmaßnahmen nach § 44 Abs. 5 BNatSchG, sofern diese Vorschriften für den Eingriff von Belang sind, unter besonderer Berücksichtigung der Lebensraumtypen und Zielarten eines Bewirtschaftungsplans im Sinn von § 32 Abs. 5 BNatSchG,</w:t>
      </w:r>
    </w:p>
    <w:p>
      <w:r>
        <w:t xml:space="preserve">d) Angaben zu erforderlichen Unterhaltungsmaßnahmen,</w:t>
      </w:r>
    </w:p>
    <w:p>
      <w:r>
        <w:t xml:space="preserve">e) Angaben zu betroffenen Grundflächen und zu deren Sicherung,</w:t>
      </w:r>
    </w:p>
    <w:p>
      <w:r>
        <w:t xml:space="preserve">f) notwendige Festlegungen zur Funktionskontrolle im Sinn des § 17 Abs. 7 BNatSchG,</w:t>
      </w:r>
    </w:p>
    <w:p>
      <w:r>
        <w:t xml:space="preserve">6. soweit erforderlich Aussagen zu Ersatzzahlungen gemäß §§ 19 und 20,</w:t>
      </w:r>
    </w:p>
    <w:p>
      <w:r>
        <w:t xml:space="preserve">7. soweit erforderlich Aussagen zur Berücksichtigung agrarstruktureller Belange gemäß § 9.</w:t>
      </w:r>
    </w:p>
    <w:p>
      <w:r>
        <w:t xml:space="preserve">(3) Die Vorschriften der Honorarordnung für Architekten und Ingenieure zum Leistungsbild des landschaftspflegerischen Begleitplans bleiben unberührt.</w:t>
      </w:r>
    </w:p>
    <w:p>
      <w:r>
        <w:rPr>
          <w:color w:val="555555"/>
          <w:sz w:val="17"/>
        </w:rPr>
        <w:t xml:space="preserve">Zitiervorschlag: § 12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