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BayKompV (Bayern) — Unterhaltungszeitraum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Ausgleichs- und Ersatzmaßnahmen sind in dem jeweils erforderlichen Zeitraum zu unterhalten. Der Unterhaltungszeitraum ist im Gestattungsbescheid festzusetzen. Es sind, gegebenenfalls unter Bezugnahme auf den landschaftspflegerischen Begleitplan, folgende Festlegungen zu treffen:</w:t>
      </w:r>
    </w:p>
    <w:p>
      <w:r>
        <w:t xml:space="preserve">1. Zeitraum der Maßnahmen zur Herstellung und Erreichung des Entwicklungsziels (Herstellungs- und Entwicklungspflege);</w:t>
      </w:r>
    </w:p>
    <w:p>
      <w:r>
        <w:t xml:space="preserve">2. soweit erforderlich Zeitraum zur Aufrechterhaltung des Entwicklungsziels (Unterhaltungspflege).</w:t>
      </w:r>
    </w:p>
    <w:p>
      <w:r>
        <w:t xml:space="preserve">Die Verpflichtung zur Durchführung der notwendigen Pflegemaßnahmen darf in der Regel 25 Jahre nicht überschreiten. Die für die Ausgleichs- und Ersatzmaßnahmen erforderlichen Flächen müssen zur Verfügung stehen, solange der Eingriff wirkt. Der Abschluss der Herstellung der Maßnahme und das Erreichen des Entwicklungsziels ist der Gestattungsbehörde anzuzeigen.</w:t>
      </w:r>
    </w:p>
    <w:p>
      <w:r>
        <w:t xml:space="preserve">(2) Erfolgt die Kompensation nach § 9 Abs. 4 und 5 produktionsintegriert auf wechselnden Flächen nach Maßgabe der Anlage 4.1 Spalte 5, ist hierfür in der Gestattung ein Unterhaltungszeitraum von in der Regel höchstens 25 Jahren festzusetzen. Abs. 1 Sätze 5 und 6 finden keine Anwendung. Zur Kompensation länger wirkender oder dauerhafter Eingriffe kann im Einvernehmen mit dem Verursacher ein längerer Zeitraum festgesetzt werden.</w:t>
      </w:r>
    </w:p>
    <w:p>
      <w:r>
        <w:t xml:space="preserve">(3) Die zeitliche Begrenzung in Abs. 1 und 2 gilt nicht für staatliche Träger als Eingriffsverursacher.</w:t>
      </w:r>
    </w:p>
    <w:p>
      <w:r>
        <w:rPr>
          <w:color w:val="555555"/>
          <w:sz w:val="17"/>
        </w:rPr>
        <w:t xml:space="preserve">Zitiervorschlag: § 10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