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BayKommV (Bayern)</w:t>
      </w:r>
    </w:p>
    <w:p>
      <w:r>
        <w:rPr>
          <w:color w:val="555555"/>
          <w:sz w:val="18"/>
        </w:rPr>
        <w:t xml:space="preserve">Bayerische Verordnung zur Ausführung kommunalrechtlicher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123 Abs. 1 Satz 1 der Gemeindeordnung (GO) und des Art. 10 Abs. 2 der Verwaltungsgemeinschaftsordnung (VGemO) in Verbindung mit Art. 27 Abs. 1 Satz 1 des Gesetzes über die kommunale Zusammenarbeit (KommZG)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BayKommV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