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BayKommV (Bayern) — Tag der amtlichen Bekanntmachung</w:t>
      </w:r>
    </w:p>
    <w:p>
      <w:r>
        <w:rPr>
          <w:color w:val="555555"/>
          <w:sz w:val="18"/>
        </w:rPr>
        <w:t xml:space="preserve">Bayerische Verordnung zur Ausführung kommunalrechtlicher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Tag der amtlichen Bekanntmachung gilt bei einer Bekanntmachung</w:t>
      </w:r>
    </w:p>
    <w:p>
      <w:r>
        <w:t xml:space="preserve">1. in einem ausschließlich digitalen Amtsblatt oder einer ausschließlich digitalen Tageszeitung der erste Tag der öffentlichen Verfügbarkeit im Internet,</w:t>
      </w:r>
    </w:p>
    <w:p>
      <w:r>
        <w:t xml:space="preserve">2. in einem nicht nur digital veröffentlichten Amtsblatt, einem Druckwerk oder einer nicht nur digital erscheinenden Tageszeitung der Ausgabetag des Amtsblattes, des Druckwerkes oder der Tageszeitung,</w:t>
      </w:r>
    </w:p>
    <w:p>
      <w:r>
        <w:t xml:space="preserve">3. durch Niederlegung und deren Bekanntgabe</w:t>
      </w:r>
    </w:p>
    <w:p>
      <w:r>
        <w:t xml:space="preserve">a) auf einer öffentlich zugänglichen Internetseite der Gemeinde oder einer ausschließlich digitalen Tageszeitung der erste Tag der öffentlichen Verfügbarkeit im Internet,</w:t>
      </w:r>
    </w:p>
    <w:p>
      <w:r>
        <w:t xml:space="preserve">b) in einer nicht nur digital erscheinenden Tageszeitung der Ausgabetag der Tageszeitung oder</w:t>
      </w:r>
    </w:p>
    <w:p>
      <w:r>
        <w:t xml:space="preserve">c) auf einer Gemeindetafel der Tag des Anschlages oder der digital lesbaren Anzeige.</w:t>
      </w:r>
    </w:p>
    <w:p>
      <w:r>
        <w:rPr>
          <w:color w:val="555555"/>
          <w:sz w:val="17"/>
        </w:rPr>
        <w:t xml:space="preserve">Zitiervorschlag: § 2 BayKommV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https://recht.nulegal.eu/gesetze/BayKommV/2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