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BayKoenigshsVermRG (Bayern)</w:t>
      </w:r>
    </w:p>
    <w:p>
      <w:r>
        <w:rPr>
          <w:color w:val="555555"/>
          <w:sz w:val="18"/>
        </w:rPr>
        <w:t xml:space="preserve">Gesetz über die vermögensrechtliche Auseinandersetzung des Bayerischen Staates mit dem vormaligen Bayerischen Königshause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Nutzungen des Fonds fließen jeweils jenen Mitgliedern des vormaligen Königshauses zu, die bei fortdauernder Geltung der vor dem 8. November 1918 maßgebenden Bestimmungen Anspruch auf Leistungen des Staates hätten.</w:t>
      </w:r>
    </w:p>
    <w:p>
      <w:r>
        <w:t xml:space="preserve">(2) Die Grundsätze über die Verteilung der Nutzungen und der Verteilungsmaßstab werden im Rahmen des Absatzes 1 vom Verwaltungsrat aufgestellt; sie bedürfen der Genehmigung der Staatsregierung. Die Festsetzung der Einzelbeträge erfolgt endgültig durch den Verwaltungsrat.</w:t>
      </w:r>
    </w:p>
    <w:p>
      <w:r>
        <w:rPr>
          <w:color w:val="555555"/>
          <w:sz w:val="17"/>
        </w:rPr>
        <w:t xml:space="preserve">Zitiervorschlag: Art 5 BayKoenigshsVermRG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https://recht.nulegal.eu/gesetze/BayKoenigshsVermRG/5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