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BayKoenigshsVermRG (Bayern)</w:t>
      </w:r>
    </w:p>
    <w:p>
      <w:r>
        <w:rPr>
          <w:color w:val="555555"/>
          <w:sz w:val="18"/>
        </w:rPr>
        <w:t xml:space="preserve">Gesetz über die vermögensrechtliche Auseinandersetzung des Bayerischen Staates mit dem vormaligen Bayerischen Königshause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Verwaltung des Fonds wird von einem Verwaltungsrat geführt, dessen Mitglieder vom vormaligen Königshaus ernannt werden; die Staatsregierung entsendet zwei Staatskommissare in den Verwaltungsrat.</w:t>
      </w:r>
    </w:p>
    <w:p>
      <w:r>
        <w:t xml:space="preserve">(2) Die Staatsregierung hat die näheren Bestimmungen über die Einrichtung der Verwaltung des Fonds und seine ungeschmälerte Erhaltung zu treffen.</w:t>
      </w:r>
    </w:p>
    <w:p>
      <w:r>
        <w:rPr>
          <w:color w:val="555555"/>
          <w:sz w:val="17"/>
        </w:rPr>
        <w:t xml:space="preserve">Zitiervorschlag: Art 4 BayKoenigshsVermRG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https://recht.nulegal.eu/gesetze/BayKoenigshsVermRG/4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