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BayKoenigshsVermRG (Bayern)</w:t>
      </w:r>
    </w:p>
    <w:p>
      <w:r>
        <w:rPr>
          <w:color w:val="555555"/>
          <w:sz w:val="18"/>
        </w:rPr>
        <w:t xml:space="preserve">Gesetz über die vermögensrechtliche Auseinandersetzung des Bayerischen Staates mit dem vormaligen Bayerischen Königshause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Das Gesetz wird als dringend bezeichnet und tritt mit seiner Verkündung sofort in Wirksamkeit.</w:t>
      </w:r>
    </w:p>
    <w:p>
      <w:r>
        <w:t xml:space="preserve">(2) Das Staatsministerium der Finanzen wird ermächtigt, die zum Vollzug der Auseinandersetzung erforderlichen Übereignungen vorzunehmen und die im Übereinkommen vorgesehenen Rechte zu bestellen. (entfallen)</w:t>
      </w:r>
    </w:p>
    <w:p>
      <w:r>
        <w:rPr>
          <w:color w:val="555555"/>
          <w:sz w:val="17"/>
        </w:rPr>
        <w:t xml:space="preserve">Zitiervorschlag: Art 11 BayKoenigshsVermRG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https://recht.nulegal.eu/gesetze/BayKoenigshsVermRG/11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