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BayKoenigshsVermRG (Bayern)</w:t>
      </w:r>
    </w:p>
    <w:p>
      <w:r>
        <w:rPr>
          <w:color w:val="555555"/>
          <w:sz w:val="18"/>
        </w:rPr>
        <w:t xml:space="preserve">Gesetz über die vermögensrechtliche Auseinandersetzung des Bayerischen Staates mit dem vormaligen Bayerischen Königshause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Durchführung der vermögensrechtlichen Auseinandersetzung zwischen dem Bayerischen Staat und dem vormaligen Bayerischen Königshaus wird ein Fonds mit der Bezeichnung „Wittelsbacher Ausgleichsfonds“ errichtet.</w:t>
      </w:r>
    </w:p>
    <w:p>
      <w:r>
        <w:rPr>
          <w:color w:val="555555"/>
          <w:sz w:val="17"/>
        </w:rPr>
        <w:t xml:space="preserve">Zitiervorschlag: Art 1 BayKoenigshsVermRG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https://recht.nulegal.eu/gesetze/BayKoenigshsVermRG/1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