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BayKlinFbV (Bayern)</w:t>
      </w:r>
    </w:p>
    <w:p>
      <w:r>
        <w:rPr>
          <w:color w:val="555555"/>
          <w:sz w:val="18"/>
        </w:rPr>
        <w:t xml:space="preserve">Verordnung zur Regelung der Mitgliedschaft der Leiter von klinischen Einrichtungen in den Fakultätsräten der medizinischen und tiermedizinischen Fakultäten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16. November 1999</w:t>
      </w:r>
    </w:p>
    <w:p>
      <w:r>
        <w:t xml:space="preserve">Bayerisches Staatsministerium für Wissenschaft, Forschung und Kunst</w:t>
      </w:r>
    </w:p>
    <w:p>
      <w:r>
        <w:t xml:space="preserve">Hans Zehetmair, Staatsminister</w:t>
      </w:r>
    </w:p>
    <w:p>
      <w:r>
        <w:rPr>
          <w:color w:val="555555"/>
          <w:sz w:val="17"/>
        </w:rPr>
        <w:t xml:space="preserve">Zitiervorschlag: Schlussformel BayKlinFbV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https://recht.nulegal.eu/gesetze/BayKlinFbV/schlussformel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